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7DAC2" w14:textId="01658BBD" w:rsidR="00A44F19" w:rsidRDefault="00FE1479" w:rsidP="004E2A9A">
      <w:pPr>
        <w:pStyle w:val="BodyText"/>
        <w:spacing w:before="1"/>
        <w:ind w:right="78"/>
      </w:pPr>
      <w:bookmarkStart w:id="0" w:name="_GoBack"/>
      <w:bookmarkEnd w:id="0"/>
      <w:r>
        <w:t>San Joaquin Valley College, Inc.</w:t>
      </w:r>
      <w:r w:rsidR="00D90253">
        <w:t xml:space="preserve"> offer</w:t>
      </w:r>
      <w:r>
        <w:t>s</w:t>
      </w:r>
      <w:r w:rsidR="00D90253">
        <w:t xml:space="preserve"> tuition assistance for employees, spouses</w:t>
      </w:r>
      <w:r w:rsidR="004E2A9A">
        <w:t>,</w:t>
      </w:r>
      <w:r w:rsidR="00D90253">
        <w:t xml:space="preserve"> and qualified dependents to attend San Joaquin Valley College </w:t>
      </w:r>
      <w:r w:rsidR="00834521">
        <w:t>or</w:t>
      </w:r>
      <w:r w:rsidR="00D90253">
        <w:t xml:space="preserve"> Carrington College (CC</w:t>
      </w:r>
      <w:proofErr w:type="gramStart"/>
      <w:r w:rsidR="00D90253">
        <w:t>)</w:t>
      </w:r>
      <w:r w:rsidR="00C60F77">
        <w:t xml:space="preserve">, </w:t>
      </w:r>
      <w:r w:rsidR="00D90253">
        <w:t>and</w:t>
      </w:r>
      <w:proofErr w:type="gramEnd"/>
      <w:r w:rsidR="00D90253">
        <w:t xml:space="preserve"> may offer scholarships for employees who attend other colleges or universities to advance their career with the </w:t>
      </w:r>
      <w:r w:rsidR="00DB73A0">
        <w:t>O</w:t>
      </w:r>
      <w:r w:rsidR="00D90253">
        <w:t>rganization</w:t>
      </w:r>
      <w:r w:rsidR="00DB73A0">
        <w:t>.</w:t>
      </w:r>
      <w:r>
        <w:t xml:space="preserve"> </w:t>
      </w:r>
      <w:r w:rsidR="00DB73A0">
        <w:t xml:space="preserve"> </w:t>
      </w:r>
      <w:r w:rsidR="00D90253">
        <w:t xml:space="preserve">These benefits are available to </w:t>
      </w:r>
      <w:r w:rsidR="00834521">
        <w:t xml:space="preserve">regular, </w:t>
      </w:r>
      <w:r w:rsidR="00D90253">
        <w:t>full-</w:t>
      </w:r>
      <w:r w:rsidR="00836CFA">
        <w:t xml:space="preserve"> and part-</w:t>
      </w:r>
      <w:r w:rsidR="00D90253">
        <w:t>time employees</w:t>
      </w:r>
      <w:r>
        <w:t xml:space="preserve"> based on length of service</w:t>
      </w:r>
      <w:r w:rsidR="00D90253">
        <w:t xml:space="preserve"> and are subject to the following terms and conditions.</w:t>
      </w:r>
    </w:p>
    <w:p w14:paraId="473D76D0" w14:textId="1C03E667" w:rsidR="004E2A9A" w:rsidRDefault="004E2A9A">
      <w:pPr>
        <w:pStyle w:val="BodyText"/>
        <w:spacing w:before="1"/>
        <w:ind w:left="119" w:right="78"/>
      </w:pPr>
    </w:p>
    <w:p w14:paraId="5CAAB2EA" w14:textId="25AA3923" w:rsidR="004E2A9A" w:rsidRPr="004E2A9A" w:rsidRDefault="004E2A9A" w:rsidP="004E2A9A">
      <w:pPr>
        <w:pStyle w:val="BodyText"/>
        <w:spacing w:before="1"/>
        <w:ind w:right="78"/>
        <w:rPr>
          <w:u w:val="single"/>
        </w:rPr>
      </w:pPr>
      <w:r>
        <w:rPr>
          <w:u w:val="single"/>
        </w:rPr>
        <w:t>Qualified Dependents</w:t>
      </w:r>
    </w:p>
    <w:p w14:paraId="7600122D" w14:textId="5AB986E4" w:rsidR="00A44F19" w:rsidRDefault="004E2A9A">
      <w:pPr>
        <w:pStyle w:val="BodyText"/>
        <w:spacing w:before="1"/>
      </w:pPr>
      <w:r w:rsidRPr="0038341A">
        <w:rPr>
          <w:highlight w:val="yellow"/>
        </w:rPr>
        <w:t>A “qualified dependent” under this policy means a regular employee’s is child (biological or adopted).</w:t>
      </w:r>
      <w:r>
        <w:t xml:space="preserve">  </w:t>
      </w:r>
    </w:p>
    <w:p w14:paraId="459B3BDD" w14:textId="77777777" w:rsidR="004E2A9A" w:rsidRDefault="004E2A9A">
      <w:pPr>
        <w:pStyle w:val="BodyText"/>
        <w:spacing w:before="1"/>
      </w:pPr>
    </w:p>
    <w:p w14:paraId="7BC6300C" w14:textId="77777777" w:rsidR="00A44F19" w:rsidRDefault="00D90253" w:rsidP="004E2A9A">
      <w:pPr>
        <w:pStyle w:val="BodyText"/>
        <w:spacing w:before="1" w:line="252" w:lineRule="exact"/>
      </w:pPr>
      <w:r>
        <w:rPr>
          <w:u w:val="single"/>
        </w:rPr>
        <w:t>Family Tuition Assistance</w:t>
      </w:r>
    </w:p>
    <w:p w14:paraId="7D2E252E" w14:textId="77777777" w:rsidR="00A44F19" w:rsidRDefault="00D90253" w:rsidP="004E2A9A">
      <w:pPr>
        <w:pStyle w:val="BodyText"/>
        <w:ind w:right="320"/>
        <w:jc w:val="both"/>
      </w:pPr>
      <w:r>
        <w:t xml:space="preserve">The Family Tuition Assistance benefit offers tuition assistance for spouses and qualified dependents to attend </w:t>
      </w:r>
      <w:proofErr w:type="spellStart"/>
      <w:r>
        <w:t>SJVC</w:t>
      </w:r>
      <w:proofErr w:type="spellEnd"/>
      <w:r>
        <w:t xml:space="preserve"> or CC programs. The employee must be the parent or legal guardian of the dependent.</w:t>
      </w:r>
    </w:p>
    <w:p w14:paraId="6E555A68" w14:textId="77777777" w:rsidR="00A44F19" w:rsidRDefault="00A44F19">
      <w:pPr>
        <w:pStyle w:val="BodyText"/>
        <w:spacing w:before="10"/>
        <w:rPr>
          <w:sz w:val="21"/>
        </w:rPr>
      </w:pPr>
    </w:p>
    <w:p w14:paraId="5B7A3BFE" w14:textId="5EE017F8" w:rsidR="00836CFA" w:rsidRDefault="00D90253">
      <w:pPr>
        <w:pStyle w:val="BodyText"/>
        <w:spacing w:before="1"/>
        <w:ind w:left="120" w:right="192" w:hanging="1"/>
      </w:pPr>
      <w:r>
        <w:t xml:space="preserve">The amount of tuition assistance </w:t>
      </w:r>
      <w:r>
        <w:rPr>
          <w:spacing w:val="-3"/>
        </w:rPr>
        <w:t xml:space="preserve">is </w:t>
      </w:r>
      <w:r>
        <w:t>tiered based on</w:t>
      </w:r>
      <w:r w:rsidR="00AF475F">
        <w:t xml:space="preserve"> the</w:t>
      </w:r>
      <w:r>
        <w:t xml:space="preserve"> length of service</w:t>
      </w:r>
      <w:r w:rsidR="00836CFA">
        <w:t xml:space="preserve"> of the employee, as outlined below:</w:t>
      </w:r>
    </w:p>
    <w:p w14:paraId="56046C92" w14:textId="77777777" w:rsidR="003B14BC" w:rsidRDefault="003B14BC">
      <w:pPr>
        <w:pStyle w:val="BodyText"/>
        <w:spacing w:before="1"/>
        <w:ind w:left="120" w:right="192" w:hanging="1"/>
      </w:pPr>
    </w:p>
    <w:tbl>
      <w:tblPr>
        <w:tblStyle w:val="GridTable4-Accent2"/>
        <w:tblW w:w="0" w:type="auto"/>
        <w:jc w:val="center"/>
        <w:tblLook w:val="04A0" w:firstRow="1" w:lastRow="0" w:firstColumn="1" w:lastColumn="0" w:noHBand="0" w:noVBand="1"/>
      </w:tblPr>
      <w:tblGrid>
        <w:gridCol w:w="1175"/>
        <w:gridCol w:w="1218"/>
        <w:gridCol w:w="1260"/>
      </w:tblGrid>
      <w:tr w:rsidR="00836CFA" w:rsidRPr="00836CFA" w14:paraId="7E6AEC55" w14:textId="77777777" w:rsidTr="009640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7B5C74FC" w14:textId="77777777" w:rsidR="00836CFA" w:rsidRPr="00836CFA" w:rsidRDefault="00836CFA" w:rsidP="00836CFA">
            <w:pPr>
              <w:pStyle w:val="BodyText"/>
              <w:spacing w:before="1"/>
              <w:ind w:right="192"/>
              <w:jc w:val="center"/>
              <w:rPr>
                <w:sz w:val="18"/>
                <w:szCs w:val="18"/>
              </w:rPr>
            </w:pPr>
            <w:r>
              <w:rPr>
                <w:sz w:val="18"/>
                <w:szCs w:val="18"/>
              </w:rPr>
              <w:t>Years</w:t>
            </w:r>
            <w:r w:rsidRPr="00836CFA">
              <w:rPr>
                <w:sz w:val="18"/>
                <w:szCs w:val="18"/>
              </w:rPr>
              <w:t xml:space="preserve"> of Service</w:t>
            </w:r>
          </w:p>
        </w:tc>
        <w:tc>
          <w:tcPr>
            <w:tcW w:w="1218" w:type="dxa"/>
          </w:tcPr>
          <w:p w14:paraId="2500CF1A" w14:textId="77777777" w:rsidR="00836CFA" w:rsidRPr="00836CFA" w:rsidRDefault="00836CFA" w:rsidP="00836CFA">
            <w:pPr>
              <w:pStyle w:val="BodyText"/>
              <w:spacing w:before="1"/>
              <w:ind w:right="192"/>
              <w:jc w:val="center"/>
              <w:cnfStyle w:val="100000000000" w:firstRow="1" w:lastRow="0" w:firstColumn="0" w:lastColumn="0" w:oddVBand="0" w:evenVBand="0" w:oddHBand="0" w:evenHBand="0" w:firstRowFirstColumn="0" w:firstRowLastColumn="0" w:lastRowFirstColumn="0" w:lastRowLastColumn="0"/>
              <w:rPr>
                <w:sz w:val="18"/>
                <w:szCs w:val="18"/>
              </w:rPr>
            </w:pPr>
            <w:r w:rsidRPr="00836CFA">
              <w:rPr>
                <w:sz w:val="18"/>
                <w:szCs w:val="18"/>
              </w:rPr>
              <w:t>Full-time benefit</w:t>
            </w:r>
          </w:p>
        </w:tc>
        <w:tc>
          <w:tcPr>
            <w:tcW w:w="1260" w:type="dxa"/>
          </w:tcPr>
          <w:p w14:paraId="2B15CD1F" w14:textId="77777777" w:rsidR="00836CFA" w:rsidRPr="00836CFA" w:rsidRDefault="00836CFA" w:rsidP="00836CFA">
            <w:pPr>
              <w:pStyle w:val="BodyText"/>
              <w:spacing w:before="1"/>
              <w:ind w:right="192"/>
              <w:jc w:val="center"/>
              <w:cnfStyle w:val="100000000000" w:firstRow="1" w:lastRow="0" w:firstColumn="0" w:lastColumn="0" w:oddVBand="0" w:evenVBand="0" w:oddHBand="0" w:evenHBand="0" w:firstRowFirstColumn="0" w:firstRowLastColumn="0" w:lastRowFirstColumn="0" w:lastRowLastColumn="0"/>
              <w:rPr>
                <w:sz w:val="18"/>
                <w:szCs w:val="18"/>
              </w:rPr>
            </w:pPr>
            <w:r w:rsidRPr="00836CFA">
              <w:rPr>
                <w:sz w:val="18"/>
                <w:szCs w:val="18"/>
              </w:rPr>
              <w:t>Part-time benefit</w:t>
            </w:r>
          </w:p>
        </w:tc>
      </w:tr>
      <w:tr w:rsidR="00964091" w14:paraId="3D5DA6E2" w14:textId="77777777" w:rsidTr="00964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66F9836B" w14:textId="77777777" w:rsidR="00964091" w:rsidRDefault="00964091" w:rsidP="00964091">
            <w:pPr>
              <w:pStyle w:val="BodyText"/>
              <w:spacing w:before="1"/>
              <w:ind w:right="192"/>
              <w:jc w:val="center"/>
            </w:pPr>
            <w:r>
              <w:t>1</w:t>
            </w:r>
          </w:p>
        </w:tc>
        <w:tc>
          <w:tcPr>
            <w:tcW w:w="1218" w:type="dxa"/>
          </w:tcPr>
          <w:p w14:paraId="0D339A88" w14:textId="77777777" w:rsidR="00964091" w:rsidRDefault="00964091" w:rsidP="00964091">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20%</w:t>
            </w:r>
          </w:p>
        </w:tc>
        <w:tc>
          <w:tcPr>
            <w:tcW w:w="1260" w:type="dxa"/>
          </w:tcPr>
          <w:p w14:paraId="0FBC1426" w14:textId="77777777" w:rsidR="00964091" w:rsidRDefault="00964091" w:rsidP="00964091">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10%</w:t>
            </w:r>
          </w:p>
        </w:tc>
      </w:tr>
      <w:tr w:rsidR="00964091" w14:paraId="21CC8EAC" w14:textId="77777777" w:rsidTr="00964091">
        <w:trPr>
          <w:jc w:val="center"/>
        </w:trPr>
        <w:tc>
          <w:tcPr>
            <w:cnfStyle w:val="001000000000" w:firstRow="0" w:lastRow="0" w:firstColumn="1" w:lastColumn="0" w:oddVBand="0" w:evenVBand="0" w:oddHBand="0" w:evenHBand="0" w:firstRowFirstColumn="0" w:firstRowLastColumn="0" w:lastRowFirstColumn="0" w:lastRowLastColumn="0"/>
            <w:tcW w:w="1175" w:type="dxa"/>
          </w:tcPr>
          <w:p w14:paraId="4CD804F7" w14:textId="77777777" w:rsidR="00964091" w:rsidRDefault="00964091" w:rsidP="00964091">
            <w:pPr>
              <w:pStyle w:val="BodyText"/>
              <w:spacing w:before="1"/>
              <w:ind w:right="192"/>
              <w:jc w:val="center"/>
            </w:pPr>
            <w:r>
              <w:t>2</w:t>
            </w:r>
          </w:p>
        </w:tc>
        <w:tc>
          <w:tcPr>
            <w:tcW w:w="1218" w:type="dxa"/>
          </w:tcPr>
          <w:p w14:paraId="164361E8" w14:textId="77777777" w:rsidR="00964091" w:rsidRDefault="00964091" w:rsidP="00964091">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40%</w:t>
            </w:r>
          </w:p>
        </w:tc>
        <w:tc>
          <w:tcPr>
            <w:tcW w:w="1260" w:type="dxa"/>
          </w:tcPr>
          <w:p w14:paraId="320FC385" w14:textId="77777777" w:rsidR="00964091" w:rsidRDefault="00964091" w:rsidP="00964091">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20%</w:t>
            </w:r>
          </w:p>
        </w:tc>
      </w:tr>
      <w:tr w:rsidR="00964091" w14:paraId="1332412E" w14:textId="77777777" w:rsidTr="00964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3F8A2FA8" w14:textId="77777777" w:rsidR="00964091" w:rsidRDefault="00964091" w:rsidP="00964091">
            <w:pPr>
              <w:pStyle w:val="BodyText"/>
              <w:spacing w:before="1"/>
              <w:ind w:right="192"/>
              <w:jc w:val="center"/>
            </w:pPr>
            <w:r>
              <w:t>3</w:t>
            </w:r>
          </w:p>
        </w:tc>
        <w:tc>
          <w:tcPr>
            <w:tcW w:w="1218" w:type="dxa"/>
          </w:tcPr>
          <w:p w14:paraId="33530B56" w14:textId="77777777" w:rsidR="00964091" w:rsidRDefault="00964091" w:rsidP="00964091">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60%</w:t>
            </w:r>
          </w:p>
        </w:tc>
        <w:tc>
          <w:tcPr>
            <w:tcW w:w="1260" w:type="dxa"/>
          </w:tcPr>
          <w:p w14:paraId="13E6AAC7" w14:textId="77777777" w:rsidR="00964091" w:rsidRDefault="00964091" w:rsidP="00964091">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30%</w:t>
            </w:r>
          </w:p>
        </w:tc>
      </w:tr>
      <w:tr w:rsidR="00964091" w14:paraId="13172110" w14:textId="77777777" w:rsidTr="00964091">
        <w:trPr>
          <w:jc w:val="center"/>
        </w:trPr>
        <w:tc>
          <w:tcPr>
            <w:cnfStyle w:val="001000000000" w:firstRow="0" w:lastRow="0" w:firstColumn="1" w:lastColumn="0" w:oddVBand="0" w:evenVBand="0" w:oddHBand="0" w:evenHBand="0" w:firstRowFirstColumn="0" w:firstRowLastColumn="0" w:lastRowFirstColumn="0" w:lastRowLastColumn="0"/>
            <w:tcW w:w="1175" w:type="dxa"/>
          </w:tcPr>
          <w:p w14:paraId="09FB2D9F" w14:textId="77777777" w:rsidR="00964091" w:rsidRDefault="00964091" w:rsidP="00964091">
            <w:pPr>
              <w:pStyle w:val="BodyText"/>
              <w:spacing w:before="1"/>
              <w:ind w:right="192"/>
              <w:jc w:val="center"/>
            </w:pPr>
            <w:r>
              <w:t>4</w:t>
            </w:r>
          </w:p>
        </w:tc>
        <w:tc>
          <w:tcPr>
            <w:tcW w:w="1218" w:type="dxa"/>
          </w:tcPr>
          <w:p w14:paraId="0411F12D" w14:textId="77777777" w:rsidR="00964091" w:rsidRDefault="00964091" w:rsidP="00964091">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80%</w:t>
            </w:r>
          </w:p>
        </w:tc>
        <w:tc>
          <w:tcPr>
            <w:tcW w:w="1260" w:type="dxa"/>
          </w:tcPr>
          <w:p w14:paraId="3F5DF89B" w14:textId="77777777" w:rsidR="00964091" w:rsidRDefault="00964091" w:rsidP="00964091">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40%</w:t>
            </w:r>
          </w:p>
        </w:tc>
      </w:tr>
      <w:tr w:rsidR="00964091" w14:paraId="5BC900FB" w14:textId="77777777" w:rsidTr="0096409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795C129D" w14:textId="123B8A73" w:rsidR="00964091" w:rsidRDefault="003B14BC" w:rsidP="00964091">
            <w:pPr>
              <w:pStyle w:val="BodyText"/>
              <w:spacing w:before="1"/>
              <w:ind w:right="192"/>
              <w:jc w:val="center"/>
            </w:pPr>
            <w:r>
              <w:t xml:space="preserve"> </w:t>
            </w:r>
            <w:r w:rsidR="00964091">
              <w:t>5+</w:t>
            </w:r>
          </w:p>
        </w:tc>
        <w:tc>
          <w:tcPr>
            <w:tcW w:w="1218" w:type="dxa"/>
          </w:tcPr>
          <w:p w14:paraId="5C430CE4" w14:textId="77777777" w:rsidR="00964091" w:rsidRDefault="00964091" w:rsidP="00964091">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100%</w:t>
            </w:r>
          </w:p>
        </w:tc>
        <w:tc>
          <w:tcPr>
            <w:tcW w:w="1260" w:type="dxa"/>
          </w:tcPr>
          <w:p w14:paraId="13526A69" w14:textId="77777777" w:rsidR="00964091" w:rsidRDefault="00964091" w:rsidP="00964091">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50%</w:t>
            </w:r>
          </w:p>
        </w:tc>
      </w:tr>
    </w:tbl>
    <w:p w14:paraId="493777EC" w14:textId="77777777" w:rsidR="00836CFA" w:rsidRDefault="00836CFA">
      <w:pPr>
        <w:pStyle w:val="BodyText"/>
        <w:spacing w:before="1"/>
        <w:ind w:left="120" w:right="192" w:hanging="1"/>
      </w:pPr>
    </w:p>
    <w:p w14:paraId="22C5013A" w14:textId="028A0480" w:rsidR="00A44F19" w:rsidRDefault="00964091" w:rsidP="00DB73A0">
      <w:pPr>
        <w:pStyle w:val="BodyText"/>
        <w:spacing w:before="1"/>
        <w:ind w:right="192"/>
      </w:pPr>
      <w:r>
        <w:t>The benefit percentage remains the same for the duration of the student’s enrollment</w:t>
      </w:r>
      <w:r w:rsidR="00DB73A0">
        <w:t xml:space="preserve">.  </w:t>
      </w:r>
      <w:r w:rsidR="00D90253">
        <w:t xml:space="preserve">Recipients must meet applicable </w:t>
      </w:r>
      <w:r w:rsidR="003B14BC">
        <w:t>c</w:t>
      </w:r>
      <w:r w:rsidR="00D90253">
        <w:t>ollege and program entrance requirements. This tuition assistance benefit is only available if there is an open seat (unused capacity) in the cohort or modular start date for the chosen program.</w:t>
      </w:r>
    </w:p>
    <w:p w14:paraId="7ACCDCE4" w14:textId="77777777" w:rsidR="00A44F19" w:rsidRDefault="00A44F19">
      <w:pPr>
        <w:pStyle w:val="BodyText"/>
      </w:pPr>
    </w:p>
    <w:p w14:paraId="20431A54" w14:textId="77777777" w:rsidR="00A44F19" w:rsidRDefault="00D90253" w:rsidP="004E2A9A">
      <w:pPr>
        <w:pStyle w:val="BodyText"/>
      </w:pPr>
      <w:r>
        <w:rPr>
          <w:u w:val="single"/>
        </w:rPr>
        <w:t>Employee Tuition Assistance</w:t>
      </w:r>
    </w:p>
    <w:p w14:paraId="4955D9F6" w14:textId="77777777" w:rsidR="00A44F19" w:rsidRDefault="00E53B59" w:rsidP="004E2A9A">
      <w:pPr>
        <w:pStyle w:val="BodyText"/>
        <w:spacing w:before="3"/>
        <w:ind w:right="355"/>
      </w:pPr>
      <w:r>
        <w:t>E</w:t>
      </w:r>
      <w:r w:rsidR="00D90253">
        <w:t xml:space="preserve">mployees </w:t>
      </w:r>
      <w:r>
        <w:t>meeting eligibility requirements may</w:t>
      </w:r>
      <w:r w:rsidR="00D90253">
        <w:t xml:space="preserve"> attend an </w:t>
      </w:r>
      <w:proofErr w:type="spellStart"/>
      <w:r w:rsidR="00D90253">
        <w:t>SJVC</w:t>
      </w:r>
      <w:proofErr w:type="spellEnd"/>
      <w:r w:rsidR="00D90253">
        <w:t xml:space="preserve"> or CC program, if the commitment to classes and stud</w:t>
      </w:r>
      <w:r w:rsidR="005C48D9">
        <w:t>ies</w:t>
      </w:r>
      <w:r w:rsidR="00D90253">
        <w:t xml:space="preserve"> do not interfere with the employee’s ability to perform his/her regular job duties. This benefit targets employees interested in making a career change by attending our colleges.</w:t>
      </w:r>
    </w:p>
    <w:p w14:paraId="7D979D36" w14:textId="77777777" w:rsidR="00A44F19" w:rsidRDefault="00A44F19">
      <w:pPr>
        <w:pStyle w:val="BodyText"/>
        <w:spacing w:before="11"/>
        <w:rPr>
          <w:sz w:val="21"/>
        </w:rPr>
      </w:pPr>
    </w:p>
    <w:p w14:paraId="3C772192" w14:textId="70E11321" w:rsidR="00964091" w:rsidRDefault="00964091" w:rsidP="004E2A9A">
      <w:pPr>
        <w:pStyle w:val="BodyText"/>
        <w:spacing w:before="1"/>
        <w:ind w:right="192"/>
      </w:pPr>
      <w:r>
        <w:t xml:space="preserve">The amount of tuition assistance </w:t>
      </w:r>
      <w:r>
        <w:rPr>
          <w:spacing w:val="-3"/>
        </w:rPr>
        <w:t xml:space="preserve">is </w:t>
      </w:r>
      <w:r>
        <w:t>tiered based on</w:t>
      </w:r>
      <w:r w:rsidR="00AF475F">
        <w:t xml:space="preserve"> the</w:t>
      </w:r>
      <w:r>
        <w:t xml:space="preserve"> length of service of the employee, as outlined below:</w:t>
      </w:r>
    </w:p>
    <w:p w14:paraId="05A7D24D" w14:textId="77777777" w:rsidR="003B14BC" w:rsidRDefault="003B14BC" w:rsidP="00964091">
      <w:pPr>
        <w:pStyle w:val="BodyText"/>
        <w:spacing w:before="1"/>
        <w:ind w:left="120" w:right="192" w:hanging="1"/>
      </w:pPr>
    </w:p>
    <w:tbl>
      <w:tblPr>
        <w:tblStyle w:val="GridTable4-Accent2"/>
        <w:tblW w:w="0" w:type="auto"/>
        <w:jc w:val="center"/>
        <w:tblLook w:val="04A0" w:firstRow="1" w:lastRow="0" w:firstColumn="1" w:lastColumn="0" w:noHBand="0" w:noVBand="1"/>
      </w:tblPr>
      <w:tblGrid>
        <w:gridCol w:w="1175"/>
        <w:gridCol w:w="1218"/>
        <w:gridCol w:w="1260"/>
      </w:tblGrid>
      <w:tr w:rsidR="00964091" w:rsidRPr="00836CFA" w14:paraId="649F5209" w14:textId="77777777" w:rsidTr="00FB4D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414FA8BE" w14:textId="77777777" w:rsidR="00964091" w:rsidRPr="00836CFA" w:rsidRDefault="00964091" w:rsidP="00FB4D4C">
            <w:pPr>
              <w:pStyle w:val="BodyText"/>
              <w:spacing w:before="1"/>
              <w:ind w:right="192"/>
              <w:jc w:val="center"/>
              <w:rPr>
                <w:sz w:val="18"/>
                <w:szCs w:val="18"/>
              </w:rPr>
            </w:pPr>
            <w:r>
              <w:rPr>
                <w:sz w:val="18"/>
                <w:szCs w:val="18"/>
              </w:rPr>
              <w:t>Years</w:t>
            </w:r>
            <w:r w:rsidRPr="00836CFA">
              <w:rPr>
                <w:sz w:val="18"/>
                <w:szCs w:val="18"/>
              </w:rPr>
              <w:t xml:space="preserve"> of Service</w:t>
            </w:r>
          </w:p>
        </w:tc>
        <w:tc>
          <w:tcPr>
            <w:tcW w:w="1218" w:type="dxa"/>
          </w:tcPr>
          <w:p w14:paraId="28095E89" w14:textId="77777777" w:rsidR="00964091" w:rsidRPr="00836CFA" w:rsidRDefault="00964091" w:rsidP="00FB4D4C">
            <w:pPr>
              <w:pStyle w:val="BodyText"/>
              <w:spacing w:before="1"/>
              <w:ind w:right="192"/>
              <w:jc w:val="center"/>
              <w:cnfStyle w:val="100000000000" w:firstRow="1" w:lastRow="0" w:firstColumn="0" w:lastColumn="0" w:oddVBand="0" w:evenVBand="0" w:oddHBand="0" w:evenHBand="0" w:firstRowFirstColumn="0" w:firstRowLastColumn="0" w:lastRowFirstColumn="0" w:lastRowLastColumn="0"/>
              <w:rPr>
                <w:sz w:val="18"/>
                <w:szCs w:val="18"/>
              </w:rPr>
            </w:pPr>
            <w:r w:rsidRPr="00836CFA">
              <w:rPr>
                <w:sz w:val="18"/>
                <w:szCs w:val="18"/>
              </w:rPr>
              <w:t>Full-time benefit</w:t>
            </w:r>
          </w:p>
        </w:tc>
        <w:tc>
          <w:tcPr>
            <w:tcW w:w="1260" w:type="dxa"/>
          </w:tcPr>
          <w:p w14:paraId="0A7C7BA0" w14:textId="77777777" w:rsidR="00964091" w:rsidRPr="00836CFA" w:rsidRDefault="00964091" w:rsidP="00FB4D4C">
            <w:pPr>
              <w:pStyle w:val="BodyText"/>
              <w:spacing w:before="1"/>
              <w:ind w:right="192"/>
              <w:jc w:val="center"/>
              <w:cnfStyle w:val="100000000000" w:firstRow="1" w:lastRow="0" w:firstColumn="0" w:lastColumn="0" w:oddVBand="0" w:evenVBand="0" w:oddHBand="0" w:evenHBand="0" w:firstRowFirstColumn="0" w:firstRowLastColumn="0" w:lastRowFirstColumn="0" w:lastRowLastColumn="0"/>
              <w:rPr>
                <w:sz w:val="18"/>
                <w:szCs w:val="18"/>
              </w:rPr>
            </w:pPr>
            <w:r w:rsidRPr="00836CFA">
              <w:rPr>
                <w:sz w:val="18"/>
                <w:szCs w:val="18"/>
              </w:rPr>
              <w:t>Part-time benefit</w:t>
            </w:r>
          </w:p>
        </w:tc>
      </w:tr>
      <w:tr w:rsidR="00964091" w14:paraId="0E5A3F66" w14:textId="77777777" w:rsidTr="00FB4D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4F1B03DA" w14:textId="77777777" w:rsidR="00964091" w:rsidRDefault="00964091" w:rsidP="00FB4D4C">
            <w:pPr>
              <w:pStyle w:val="BodyText"/>
              <w:spacing w:before="1"/>
              <w:ind w:right="192"/>
              <w:jc w:val="center"/>
            </w:pPr>
            <w:r>
              <w:t>1</w:t>
            </w:r>
          </w:p>
        </w:tc>
        <w:tc>
          <w:tcPr>
            <w:tcW w:w="1218" w:type="dxa"/>
          </w:tcPr>
          <w:p w14:paraId="5A6FA134" w14:textId="77777777" w:rsidR="00964091" w:rsidRDefault="00964091" w:rsidP="00FB4D4C">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10%</w:t>
            </w:r>
          </w:p>
        </w:tc>
        <w:tc>
          <w:tcPr>
            <w:tcW w:w="1260" w:type="dxa"/>
          </w:tcPr>
          <w:p w14:paraId="07882E06" w14:textId="77777777" w:rsidR="00964091" w:rsidRDefault="00964091" w:rsidP="00FB4D4C">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5%</w:t>
            </w:r>
          </w:p>
        </w:tc>
      </w:tr>
      <w:tr w:rsidR="00964091" w14:paraId="18C55FC9" w14:textId="77777777" w:rsidTr="00FB4D4C">
        <w:trPr>
          <w:jc w:val="center"/>
        </w:trPr>
        <w:tc>
          <w:tcPr>
            <w:cnfStyle w:val="001000000000" w:firstRow="0" w:lastRow="0" w:firstColumn="1" w:lastColumn="0" w:oddVBand="0" w:evenVBand="0" w:oddHBand="0" w:evenHBand="0" w:firstRowFirstColumn="0" w:firstRowLastColumn="0" w:lastRowFirstColumn="0" w:lastRowLastColumn="0"/>
            <w:tcW w:w="1175" w:type="dxa"/>
          </w:tcPr>
          <w:p w14:paraId="373EEDC5" w14:textId="77777777" w:rsidR="00964091" w:rsidRDefault="00964091" w:rsidP="00FB4D4C">
            <w:pPr>
              <w:pStyle w:val="BodyText"/>
              <w:spacing w:before="1"/>
              <w:ind w:right="192"/>
              <w:jc w:val="center"/>
            </w:pPr>
            <w:r>
              <w:t>2</w:t>
            </w:r>
          </w:p>
        </w:tc>
        <w:tc>
          <w:tcPr>
            <w:tcW w:w="1218" w:type="dxa"/>
          </w:tcPr>
          <w:p w14:paraId="04345D83" w14:textId="77777777" w:rsidR="00964091" w:rsidRDefault="00964091" w:rsidP="00FB4D4C">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20%</w:t>
            </w:r>
          </w:p>
        </w:tc>
        <w:tc>
          <w:tcPr>
            <w:tcW w:w="1260" w:type="dxa"/>
          </w:tcPr>
          <w:p w14:paraId="67F40DE1" w14:textId="77777777" w:rsidR="00964091" w:rsidRDefault="00964091" w:rsidP="00FB4D4C">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10%</w:t>
            </w:r>
          </w:p>
        </w:tc>
      </w:tr>
      <w:tr w:rsidR="00964091" w14:paraId="0AB5D2F5" w14:textId="77777777" w:rsidTr="00FB4D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66F85CD6" w14:textId="77777777" w:rsidR="00964091" w:rsidRDefault="00964091" w:rsidP="00FB4D4C">
            <w:pPr>
              <w:pStyle w:val="BodyText"/>
              <w:spacing w:before="1"/>
              <w:ind w:right="192"/>
              <w:jc w:val="center"/>
            </w:pPr>
            <w:r>
              <w:t>3</w:t>
            </w:r>
          </w:p>
        </w:tc>
        <w:tc>
          <w:tcPr>
            <w:tcW w:w="1218" w:type="dxa"/>
          </w:tcPr>
          <w:p w14:paraId="610E6E22" w14:textId="77777777" w:rsidR="00964091" w:rsidRDefault="00964091" w:rsidP="00FB4D4C">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30%</w:t>
            </w:r>
          </w:p>
        </w:tc>
        <w:tc>
          <w:tcPr>
            <w:tcW w:w="1260" w:type="dxa"/>
          </w:tcPr>
          <w:p w14:paraId="01A3F9E1" w14:textId="77777777" w:rsidR="00964091" w:rsidRDefault="00964091" w:rsidP="00FB4D4C">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15%</w:t>
            </w:r>
          </w:p>
        </w:tc>
      </w:tr>
      <w:tr w:rsidR="00964091" w14:paraId="606B8270" w14:textId="77777777" w:rsidTr="00FB4D4C">
        <w:trPr>
          <w:jc w:val="center"/>
        </w:trPr>
        <w:tc>
          <w:tcPr>
            <w:cnfStyle w:val="001000000000" w:firstRow="0" w:lastRow="0" w:firstColumn="1" w:lastColumn="0" w:oddVBand="0" w:evenVBand="0" w:oddHBand="0" w:evenHBand="0" w:firstRowFirstColumn="0" w:firstRowLastColumn="0" w:lastRowFirstColumn="0" w:lastRowLastColumn="0"/>
            <w:tcW w:w="1175" w:type="dxa"/>
          </w:tcPr>
          <w:p w14:paraId="7C6AA68A" w14:textId="77777777" w:rsidR="00964091" w:rsidRDefault="00964091" w:rsidP="00FB4D4C">
            <w:pPr>
              <w:pStyle w:val="BodyText"/>
              <w:spacing w:before="1"/>
              <w:ind w:right="192"/>
              <w:jc w:val="center"/>
            </w:pPr>
            <w:r>
              <w:t>4</w:t>
            </w:r>
          </w:p>
        </w:tc>
        <w:tc>
          <w:tcPr>
            <w:tcW w:w="1218" w:type="dxa"/>
          </w:tcPr>
          <w:p w14:paraId="228407EA" w14:textId="77777777" w:rsidR="00964091" w:rsidRDefault="00964091" w:rsidP="00FB4D4C">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40%</w:t>
            </w:r>
          </w:p>
        </w:tc>
        <w:tc>
          <w:tcPr>
            <w:tcW w:w="1260" w:type="dxa"/>
          </w:tcPr>
          <w:p w14:paraId="3E305CF9" w14:textId="77777777" w:rsidR="00964091" w:rsidRDefault="00964091" w:rsidP="00FB4D4C">
            <w:pPr>
              <w:pStyle w:val="BodyText"/>
              <w:spacing w:before="1"/>
              <w:ind w:right="192"/>
              <w:jc w:val="right"/>
              <w:cnfStyle w:val="000000000000" w:firstRow="0" w:lastRow="0" w:firstColumn="0" w:lastColumn="0" w:oddVBand="0" w:evenVBand="0" w:oddHBand="0" w:evenHBand="0" w:firstRowFirstColumn="0" w:firstRowLastColumn="0" w:lastRowFirstColumn="0" w:lastRowLastColumn="0"/>
            </w:pPr>
            <w:r>
              <w:t>20%</w:t>
            </w:r>
          </w:p>
        </w:tc>
      </w:tr>
      <w:tr w:rsidR="00964091" w14:paraId="54A3A609" w14:textId="77777777" w:rsidTr="00FB4D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5" w:type="dxa"/>
          </w:tcPr>
          <w:p w14:paraId="1777F58E" w14:textId="113B1348" w:rsidR="00964091" w:rsidRDefault="003B14BC" w:rsidP="00FB4D4C">
            <w:pPr>
              <w:pStyle w:val="BodyText"/>
              <w:spacing w:before="1"/>
              <w:ind w:right="192"/>
              <w:jc w:val="center"/>
            </w:pPr>
            <w:r>
              <w:t xml:space="preserve"> </w:t>
            </w:r>
            <w:r w:rsidR="00964091">
              <w:t>5</w:t>
            </w:r>
            <w:r w:rsidR="002D727C">
              <w:t>+</w:t>
            </w:r>
          </w:p>
        </w:tc>
        <w:tc>
          <w:tcPr>
            <w:tcW w:w="1218" w:type="dxa"/>
          </w:tcPr>
          <w:p w14:paraId="70140D84" w14:textId="77777777" w:rsidR="00964091" w:rsidRDefault="00964091" w:rsidP="00FB4D4C">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50%</w:t>
            </w:r>
          </w:p>
        </w:tc>
        <w:tc>
          <w:tcPr>
            <w:tcW w:w="1260" w:type="dxa"/>
          </w:tcPr>
          <w:p w14:paraId="4C57855A" w14:textId="77777777" w:rsidR="00964091" w:rsidRDefault="00964091" w:rsidP="00FB4D4C">
            <w:pPr>
              <w:pStyle w:val="BodyText"/>
              <w:spacing w:before="1"/>
              <w:ind w:right="192"/>
              <w:jc w:val="right"/>
              <w:cnfStyle w:val="000000100000" w:firstRow="0" w:lastRow="0" w:firstColumn="0" w:lastColumn="0" w:oddVBand="0" w:evenVBand="0" w:oddHBand="1" w:evenHBand="0" w:firstRowFirstColumn="0" w:firstRowLastColumn="0" w:lastRowFirstColumn="0" w:lastRowLastColumn="0"/>
            </w:pPr>
            <w:r>
              <w:t>25%</w:t>
            </w:r>
          </w:p>
        </w:tc>
      </w:tr>
    </w:tbl>
    <w:p w14:paraId="25258708" w14:textId="77777777" w:rsidR="00964091" w:rsidRDefault="00964091" w:rsidP="00964091">
      <w:pPr>
        <w:pStyle w:val="BodyText"/>
        <w:spacing w:before="1"/>
        <w:ind w:left="120" w:right="192" w:hanging="1"/>
      </w:pPr>
    </w:p>
    <w:p w14:paraId="2BB9F6A1" w14:textId="03DB4A4A" w:rsidR="00964091" w:rsidRDefault="00964091" w:rsidP="004E2A9A">
      <w:pPr>
        <w:pStyle w:val="BodyText"/>
        <w:spacing w:before="1"/>
        <w:ind w:right="192"/>
      </w:pPr>
      <w:r>
        <w:t xml:space="preserve">The benefit percentage remains the same for the duration of the student’s enrollment. </w:t>
      </w:r>
    </w:p>
    <w:p w14:paraId="18374539" w14:textId="77777777" w:rsidR="00A44F19" w:rsidRDefault="00A44F19">
      <w:pPr>
        <w:pStyle w:val="BodyText"/>
        <w:spacing w:before="11"/>
        <w:rPr>
          <w:sz w:val="21"/>
        </w:rPr>
      </w:pPr>
    </w:p>
    <w:p w14:paraId="21AD0D68" w14:textId="4388A88D" w:rsidR="008654E2" w:rsidRDefault="00C80709" w:rsidP="004E2A9A">
      <w:r>
        <w:br w:type="page"/>
      </w:r>
    </w:p>
    <w:p w14:paraId="007BB18A" w14:textId="70C71CE9" w:rsidR="00A44F19" w:rsidRDefault="00D90253" w:rsidP="004E2A9A">
      <w:pPr>
        <w:pStyle w:val="BodyText"/>
        <w:ind w:right="260"/>
      </w:pPr>
      <w:r>
        <w:lastRenderedPageBreak/>
        <w:t xml:space="preserve">Recipients must meet applicable </w:t>
      </w:r>
      <w:proofErr w:type="spellStart"/>
      <w:r>
        <w:t>SJVC</w:t>
      </w:r>
      <w:proofErr w:type="spellEnd"/>
      <w:r>
        <w:t xml:space="preserve"> or CC and program entrance requirements. This tuition assistance benefit is only available if there is an open seat (unused capacity) in the cohort or modular start date for the chosen program.</w:t>
      </w:r>
    </w:p>
    <w:p w14:paraId="2456B02F" w14:textId="77777777" w:rsidR="00A44F19" w:rsidRDefault="00A44F19">
      <w:pPr>
        <w:pStyle w:val="BodyText"/>
        <w:spacing w:before="4"/>
      </w:pPr>
    </w:p>
    <w:p w14:paraId="2CB1C5A1" w14:textId="77777777" w:rsidR="00A44F19" w:rsidRDefault="00D90253" w:rsidP="004E2A9A">
      <w:pPr>
        <w:pStyle w:val="BodyText"/>
        <w:spacing w:before="83" w:line="252" w:lineRule="exact"/>
      </w:pPr>
      <w:r>
        <w:rPr>
          <w:u w:val="single"/>
        </w:rPr>
        <w:t>Application and Approval Process</w:t>
      </w:r>
    </w:p>
    <w:p w14:paraId="3AF78C90" w14:textId="77777777" w:rsidR="00A44F19" w:rsidRDefault="00D90253" w:rsidP="004E2A9A">
      <w:pPr>
        <w:pStyle w:val="BodyText"/>
        <w:ind w:right="413"/>
      </w:pPr>
      <w:r>
        <w:t xml:space="preserve">Requests for tuition assistance must be reviewed by the designated leadership team for either </w:t>
      </w:r>
      <w:proofErr w:type="spellStart"/>
      <w:r>
        <w:t>SJVC</w:t>
      </w:r>
      <w:proofErr w:type="spellEnd"/>
      <w:r>
        <w:t xml:space="preserve"> or CC.</w:t>
      </w:r>
    </w:p>
    <w:p w14:paraId="45D8550E" w14:textId="77777777" w:rsidR="00A44F19" w:rsidRDefault="00A44F19">
      <w:pPr>
        <w:pStyle w:val="BodyText"/>
        <w:spacing w:before="7"/>
        <w:rPr>
          <w:sz w:val="21"/>
        </w:rPr>
      </w:pPr>
    </w:p>
    <w:p w14:paraId="1743C910" w14:textId="77777777" w:rsidR="00A44F19" w:rsidRDefault="00D90253" w:rsidP="004E2A9A">
      <w:pPr>
        <w:pStyle w:val="Heading1"/>
      </w:pPr>
      <w:proofErr w:type="spellStart"/>
      <w:r>
        <w:t>SJVC</w:t>
      </w:r>
      <w:proofErr w:type="spellEnd"/>
    </w:p>
    <w:p w14:paraId="1E852F86" w14:textId="37FF1B7D" w:rsidR="00A44F19" w:rsidRDefault="00D90253" w:rsidP="004E2A9A">
      <w:pPr>
        <w:pStyle w:val="BodyText"/>
        <w:spacing w:before="3"/>
        <w:ind w:right="289"/>
      </w:pPr>
      <w:r>
        <w:t xml:space="preserve">The Campus </w:t>
      </w:r>
      <w:r w:rsidR="00BA3FE1">
        <w:t>President</w:t>
      </w:r>
      <w:r>
        <w:t xml:space="preserve"> is responsible for reviewing Family and Employee Tuition Assistance applications and submitting to </w:t>
      </w:r>
      <w:r w:rsidR="00BA3FE1">
        <w:t xml:space="preserve">the College’s </w:t>
      </w:r>
      <w:r>
        <w:t xml:space="preserve">Senior </w:t>
      </w:r>
      <w:r w:rsidR="001B35C8">
        <w:t>Leadership</w:t>
      </w:r>
      <w:r>
        <w:t xml:space="preserve"> for final approval. </w:t>
      </w:r>
    </w:p>
    <w:p w14:paraId="767CF0CF" w14:textId="77777777" w:rsidR="00A44F19" w:rsidRDefault="00A44F19">
      <w:pPr>
        <w:pStyle w:val="BodyText"/>
        <w:spacing w:before="10"/>
        <w:rPr>
          <w:sz w:val="21"/>
        </w:rPr>
      </w:pPr>
    </w:p>
    <w:p w14:paraId="322F19D4" w14:textId="77777777" w:rsidR="00A44F19" w:rsidRDefault="00A44F19">
      <w:pPr>
        <w:pStyle w:val="BodyText"/>
        <w:spacing w:before="11"/>
        <w:rPr>
          <w:sz w:val="21"/>
        </w:rPr>
      </w:pPr>
    </w:p>
    <w:p w14:paraId="53FEB1C1" w14:textId="77777777" w:rsidR="00A44F19" w:rsidRDefault="00D90253" w:rsidP="004E2A9A">
      <w:pPr>
        <w:pStyle w:val="BodyText"/>
        <w:spacing w:line="242" w:lineRule="auto"/>
        <w:ind w:right="1024"/>
      </w:pPr>
      <w:r>
        <w:t xml:space="preserve">The applications for Family Tuition Assistance, Employee Tuition Assistance, and Employee Scholarship are available on </w:t>
      </w:r>
      <w:bookmarkStart w:id="1" w:name="_Hlk36199621"/>
      <w:proofErr w:type="spellStart"/>
      <w:r>
        <w:t>InfoZone</w:t>
      </w:r>
      <w:proofErr w:type="spellEnd"/>
      <w:r>
        <w:t xml:space="preserve"> </w:t>
      </w:r>
      <w:r>
        <w:rPr>
          <w:rFonts w:ascii="Wingdings" w:hAnsi="Wingdings"/>
        </w:rPr>
        <w:t></w:t>
      </w:r>
      <w:r w:rsidR="00782AE8">
        <w:t>Information</w:t>
      </w:r>
      <w:r>
        <w:t xml:space="preserve"> Center </w:t>
      </w:r>
      <w:r>
        <w:rPr>
          <w:rFonts w:ascii="Wingdings" w:hAnsi="Wingdings"/>
        </w:rPr>
        <w:t></w:t>
      </w:r>
      <w:r w:rsidR="00782AE8">
        <w:t>Employee F</w:t>
      </w:r>
      <w:r>
        <w:t>orms</w:t>
      </w:r>
      <w:r w:rsidR="006F1F0F">
        <w:t xml:space="preserve"> </w:t>
      </w:r>
      <w:bookmarkEnd w:id="1"/>
      <w:r w:rsidR="006F1F0F">
        <w:t xml:space="preserve">or by clicking the following link </w:t>
      </w:r>
      <w:hyperlink r:id="rId8" w:history="1">
        <w:r w:rsidR="006F1F0F" w:rsidRPr="006F1F0F">
          <w:rPr>
            <w:rStyle w:val="Hyperlink"/>
          </w:rPr>
          <w:t xml:space="preserve">Tuition Assistance Application - </w:t>
        </w:r>
        <w:proofErr w:type="spellStart"/>
        <w:r w:rsidR="006F1F0F" w:rsidRPr="006F1F0F">
          <w:rPr>
            <w:rStyle w:val="Hyperlink"/>
          </w:rPr>
          <w:t>SJVC</w:t>
        </w:r>
        <w:proofErr w:type="spellEnd"/>
      </w:hyperlink>
      <w:r>
        <w:t>.</w:t>
      </w:r>
      <w:r w:rsidR="006F1F0F">
        <w:t xml:space="preserve"> </w:t>
      </w:r>
    </w:p>
    <w:p w14:paraId="6CF62DD9" w14:textId="77777777" w:rsidR="00A44F19" w:rsidRDefault="00A44F19">
      <w:pPr>
        <w:pStyle w:val="BodyText"/>
        <w:spacing w:before="8"/>
      </w:pPr>
    </w:p>
    <w:p w14:paraId="3B49DDE3" w14:textId="77777777" w:rsidR="00A44F19" w:rsidRDefault="00D90253" w:rsidP="004E2A9A">
      <w:pPr>
        <w:pStyle w:val="Heading1"/>
      </w:pPr>
      <w:r>
        <w:t>CC</w:t>
      </w:r>
    </w:p>
    <w:p w14:paraId="1BD21147" w14:textId="50CE6D2A" w:rsidR="00A44F19" w:rsidRDefault="00D90253" w:rsidP="004E2A9A">
      <w:pPr>
        <w:pStyle w:val="BodyText"/>
        <w:spacing w:before="3"/>
        <w:ind w:right="241"/>
      </w:pPr>
      <w:r>
        <w:t>The Manager responsible for the employee is responsible for reviewing Family and Employee Tuition Assistance applications and submitting to the</w:t>
      </w:r>
      <w:r w:rsidR="00BA3FE1">
        <w:t xml:space="preserve"> College’s</w:t>
      </w:r>
      <w:r>
        <w:t xml:space="preserve"> </w:t>
      </w:r>
      <w:r w:rsidR="001B35C8">
        <w:t>Senior Leadership team</w:t>
      </w:r>
      <w:r>
        <w:t xml:space="preserve"> for final approval. </w:t>
      </w:r>
    </w:p>
    <w:p w14:paraId="64ED9307" w14:textId="77777777" w:rsidR="00A44F19" w:rsidRDefault="00A44F19">
      <w:pPr>
        <w:pStyle w:val="BodyText"/>
        <w:spacing w:before="2"/>
      </w:pPr>
    </w:p>
    <w:p w14:paraId="092E6344" w14:textId="77777777" w:rsidR="006F1F0F" w:rsidRDefault="00D90253" w:rsidP="004E2A9A">
      <w:pPr>
        <w:pStyle w:val="BodyText"/>
        <w:spacing w:line="242" w:lineRule="auto"/>
        <w:ind w:right="1024"/>
      </w:pPr>
      <w:r>
        <w:t>The applications for Family Tuition Assistance, Employee Tuition Assistance, and Employee Scholarship are available on the Colleague Portal</w:t>
      </w:r>
      <w:r w:rsidR="006F1F0F">
        <w:t xml:space="preserve"> or by clicking the following link </w:t>
      </w:r>
      <w:hyperlink r:id="rId9" w:history="1">
        <w:r w:rsidR="006F1F0F">
          <w:rPr>
            <w:rStyle w:val="Hyperlink"/>
          </w:rPr>
          <w:t>Tuition Assistance Application - CC</w:t>
        </w:r>
      </w:hyperlink>
      <w:r w:rsidR="006F1F0F">
        <w:t>.</w:t>
      </w:r>
    </w:p>
    <w:p w14:paraId="53A2D482" w14:textId="0EBDBDAC" w:rsidR="006F1F0F" w:rsidRDefault="006F1F0F" w:rsidP="006F1F0F">
      <w:pPr>
        <w:pStyle w:val="BodyText"/>
        <w:spacing w:before="8"/>
      </w:pPr>
    </w:p>
    <w:p w14:paraId="20223037" w14:textId="37129DA9" w:rsidR="00DB73A0" w:rsidRPr="00DB73A0" w:rsidRDefault="00DB73A0" w:rsidP="006F1F0F">
      <w:pPr>
        <w:pStyle w:val="BodyText"/>
        <w:spacing w:before="8"/>
        <w:rPr>
          <w:u w:val="single"/>
        </w:rPr>
      </w:pPr>
      <w:r>
        <w:rPr>
          <w:u w:val="single"/>
        </w:rPr>
        <w:t>Separation from Employment</w:t>
      </w:r>
    </w:p>
    <w:p w14:paraId="28BF70E5" w14:textId="2A1988DB" w:rsidR="005D6857" w:rsidRDefault="00BA3FE1" w:rsidP="00BA3FE1">
      <w:pPr>
        <w:pStyle w:val="BodyText"/>
        <w:ind w:right="1024"/>
      </w:pPr>
      <w:r w:rsidRPr="0038341A">
        <w:rPr>
          <w:highlight w:val="yellow"/>
        </w:rPr>
        <w:t>A</w:t>
      </w:r>
      <w:r w:rsidR="00C60F77" w:rsidRPr="0038341A">
        <w:rPr>
          <w:highlight w:val="yellow"/>
        </w:rPr>
        <w:t xml:space="preserve"> regular</w:t>
      </w:r>
      <w:r w:rsidRPr="0038341A">
        <w:rPr>
          <w:highlight w:val="yellow"/>
        </w:rPr>
        <w:t xml:space="preserve"> employee must be employed in order </w:t>
      </w:r>
      <w:r w:rsidR="00C60F77" w:rsidRPr="0038341A">
        <w:rPr>
          <w:highlight w:val="yellow"/>
        </w:rPr>
        <w:t xml:space="preserve">to </w:t>
      </w:r>
      <w:r w:rsidR="00834521" w:rsidRPr="0038341A">
        <w:rPr>
          <w:highlight w:val="yellow"/>
        </w:rPr>
        <w:t xml:space="preserve">apply for tuition </w:t>
      </w:r>
      <w:r w:rsidR="00C60F77" w:rsidRPr="0038341A">
        <w:rPr>
          <w:highlight w:val="yellow"/>
        </w:rPr>
        <w:t xml:space="preserve">or scholarship </w:t>
      </w:r>
      <w:r w:rsidR="00834521" w:rsidRPr="0038341A">
        <w:rPr>
          <w:highlight w:val="yellow"/>
        </w:rPr>
        <w:t>assistance.</w:t>
      </w:r>
      <w:r w:rsidR="00C60F77" w:rsidRPr="0038341A">
        <w:rPr>
          <w:highlight w:val="yellow"/>
        </w:rPr>
        <w:t xml:space="preserve">  A regular employee must also be employed at the time tuition or scholarship assistance is paid.</w:t>
      </w:r>
      <w:r w:rsidR="00834521" w:rsidRPr="0038341A">
        <w:rPr>
          <w:highlight w:val="yellow"/>
        </w:rPr>
        <w:t xml:space="preserve">  If an employee separates from employment for any reason</w:t>
      </w:r>
      <w:r w:rsidR="00C60F77" w:rsidRPr="0038341A">
        <w:rPr>
          <w:highlight w:val="yellow"/>
        </w:rPr>
        <w:t xml:space="preserve">, he or she will no longer be eligible to </w:t>
      </w:r>
      <w:r w:rsidR="0038341A">
        <w:rPr>
          <w:highlight w:val="yellow"/>
        </w:rPr>
        <w:t xml:space="preserve">apply or </w:t>
      </w:r>
      <w:r w:rsidR="00C60F77" w:rsidRPr="0038341A">
        <w:rPr>
          <w:highlight w:val="yellow"/>
        </w:rPr>
        <w:t>receive any further assistance, including any assistance that may have been approved but not yet paid.</w:t>
      </w:r>
      <w:r w:rsidR="00C60F77">
        <w:t xml:space="preserve">   </w:t>
      </w:r>
      <w:r w:rsidR="00834521">
        <w:t xml:space="preserve">   </w:t>
      </w:r>
    </w:p>
    <w:sectPr w:rsidR="005D6857" w:rsidSect="004E2A9A">
      <w:headerReference w:type="default" r:id="rId10"/>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6DBFD" w14:textId="77777777" w:rsidR="009C6680" w:rsidRDefault="009C6680">
      <w:r>
        <w:separator/>
      </w:r>
    </w:p>
  </w:endnote>
  <w:endnote w:type="continuationSeparator" w:id="0">
    <w:p w14:paraId="656786B9" w14:textId="77777777" w:rsidR="009C6680" w:rsidRDefault="009C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B5A8" w14:textId="77777777" w:rsidR="009C6680" w:rsidRDefault="009C6680">
      <w:r>
        <w:separator/>
      </w:r>
    </w:p>
  </w:footnote>
  <w:footnote w:type="continuationSeparator" w:id="0">
    <w:p w14:paraId="72132E6C" w14:textId="77777777" w:rsidR="009C6680" w:rsidRDefault="009C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C087" w14:textId="77777777" w:rsidR="00A44F19" w:rsidRDefault="00964091">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6DF2025" wp14:editId="08E0E2F8">
              <wp:simplePos x="0" y="0"/>
              <wp:positionH relativeFrom="page">
                <wp:posOffset>2918460</wp:posOffset>
              </wp:positionH>
              <wp:positionV relativeFrom="page">
                <wp:posOffset>622935</wp:posOffset>
              </wp:positionV>
              <wp:extent cx="2290445" cy="181610"/>
              <wp:effectExtent l="3810" t="381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FE80F" w14:textId="77777777" w:rsidR="00A44F19" w:rsidRDefault="00D90253">
                          <w:pPr>
                            <w:spacing w:before="13"/>
                            <w:ind w:left="20"/>
                            <w:rPr>
                              <w:b/>
                            </w:rPr>
                          </w:pPr>
                          <w:r>
                            <w:rPr>
                              <w:b/>
                            </w:rPr>
                            <w:t>TUITION ASSISTANCE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F2025" id="_x0000_t202" coordsize="21600,21600" o:spt="202" path="m,l,21600r21600,l21600,xe">
              <v:stroke joinstyle="miter"/>
              <v:path gradientshapeok="t" o:connecttype="rect"/>
            </v:shapetype>
            <v:shape id="Text Box 1" o:spid="_x0000_s1026" type="#_x0000_t202" style="position:absolute;margin-left:229.8pt;margin-top:49.05pt;width:180.35pt;height:1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" filled="f" stroked="f">
              <v:textbox inset="0,0,0,0">
                <w:txbxContent>
                  <w:p w14:paraId="366FE80F" w14:textId="77777777" w:rsidR="00A44F19" w:rsidRDefault="00D90253">
                    <w:pPr>
                      <w:spacing w:before="13"/>
                      <w:ind w:left="20"/>
                      <w:rPr>
                        <w:b/>
                      </w:rPr>
                    </w:pPr>
                    <w:r>
                      <w:rPr>
                        <w:b/>
                      </w:rPr>
                      <w:t>TUITION ASSISTANCE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F2644"/>
    <w:multiLevelType w:val="hybridMultilevel"/>
    <w:tmpl w:val="54EA1B3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19"/>
    <w:rsid w:val="0002163C"/>
    <w:rsid w:val="000E5AD1"/>
    <w:rsid w:val="001B35C8"/>
    <w:rsid w:val="0027332C"/>
    <w:rsid w:val="00294677"/>
    <w:rsid w:val="002B1737"/>
    <w:rsid w:val="002D727C"/>
    <w:rsid w:val="00334A06"/>
    <w:rsid w:val="0038341A"/>
    <w:rsid w:val="003B14BC"/>
    <w:rsid w:val="003C20AF"/>
    <w:rsid w:val="004350F6"/>
    <w:rsid w:val="004960E4"/>
    <w:rsid w:val="004B167C"/>
    <w:rsid w:val="004E2A9A"/>
    <w:rsid w:val="00507643"/>
    <w:rsid w:val="005B1EF8"/>
    <w:rsid w:val="005C48D9"/>
    <w:rsid w:val="005D6857"/>
    <w:rsid w:val="005F01CD"/>
    <w:rsid w:val="006F1F0F"/>
    <w:rsid w:val="00782AE8"/>
    <w:rsid w:val="00834521"/>
    <w:rsid w:val="00836CFA"/>
    <w:rsid w:val="008654E2"/>
    <w:rsid w:val="008D50EC"/>
    <w:rsid w:val="00964091"/>
    <w:rsid w:val="009C6680"/>
    <w:rsid w:val="00A44F19"/>
    <w:rsid w:val="00AD1966"/>
    <w:rsid w:val="00AF475F"/>
    <w:rsid w:val="00BA3FE1"/>
    <w:rsid w:val="00C60F77"/>
    <w:rsid w:val="00C80709"/>
    <w:rsid w:val="00D12068"/>
    <w:rsid w:val="00D65C27"/>
    <w:rsid w:val="00D90253"/>
    <w:rsid w:val="00DA2430"/>
    <w:rsid w:val="00DB73A0"/>
    <w:rsid w:val="00DE3AAE"/>
    <w:rsid w:val="00E14968"/>
    <w:rsid w:val="00E53B59"/>
    <w:rsid w:val="00FE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0C541"/>
  <w15:docId w15:val="{7E7FAA1D-1DAC-478C-99FC-F66AD772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0"/>
      <w:outlineLvl w:val="0"/>
    </w:pPr>
    <w:rPr>
      <w:b/>
      <w:bCs/>
    </w:rPr>
  </w:style>
  <w:style w:type="paragraph" w:styleId="Heading2">
    <w:name w:val="heading 2"/>
    <w:basedOn w:val="Normal"/>
    <w:next w:val="Normal"/>
    <w:link w:val="Heading2Char"/>
    <w:uiPriority w:val="9"/>
    <w:semiHidden/>
    <w:unhideWhenUsed/>
    <w:qFormat/>
    <w:rsid w:val="005D68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3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836CF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2Char">
    <w:name w:val="Heading 2 Char"/>
    <w:basedOn w:val="DefaultParagraphFont"/>
    <w:link w:val="Heading2"/>
    <w:uiPriority w:val="9"/>
    <w:semiHidden/>
    <w:rsid w:val="005D6857"/>
    <w:rPr>
      <w:rFonts w:asciiTheme="majorHAnsi" w:eastAsiaTheme="majorEastAsia" w:hAnsiTheme="majorHAnsi" w:cstheme="majorBidi"/>
      <w:color w:val="365F91" w:themeColor="accent1" w:themeShade="BF"/>
      <w:sz w:val="26"/>
      <w:szCs w:val="26"/>
      <w:lang w:bidi="en-US"/>
    </w:rPr>
  </w:style>
  <w:style w:type="character" w:styleId="Hyperlink">
    <w:name w:val="Hyperlink"/>
    <w:basedOn w:val="DefaultParagraphFont"/>
    <w:uiPriority w:val="99"/>
    <w:unhideWhenUsed/>
    <w:rsid w:val="006F1F0F"/>
    <w:rPr>
      <w:color w:val="0000FF" w:themeColor="hyperlink"/>
      <w:u w:val="single"/>
    </w:rPr>
  </w:style>
  <w:style w:type="character" w:styleId="FollowedHyperlink">
    <w:name w:val="FollowedHyperlink"/>
    <w:basedOn w:val="DefaultParagraphFont"/>
    <w:uiPriority w:val="99"/>
    <w:semiHidden/>
    <w:unhideWhenUsed/>
    <w:rsid w:val="006F1F0F"/>
    <w:rPr>
      <w:color w:val="800080" w:themeColor="followedHyperlink"/>
      <w:u w:val="single"/>
    </w:rPr>
  </w:style>
  <w:style w:type="paragraph" w:styleId="Header">
    <w:name w:val="header"/>
    <w:basedOn w:val="Normal"/>
    <w:link w:val="HeaderChar"/>
    <w:uiPriority w:val="99"/>
    <w:unhideWhenUsed/>
    <w:rsid w:val="008654E2"/>
    <w:pPr>
      <w:tabs>
        <w:tab w:val="center" w:pos="4680"/>
        <w:tab w:val="right" w:pos="9360"/>
      </w:tabs>
    </w:pPr>
  </w:style>
  <w:style w:type="character" w:customStyle="1" w:styleId="HeaderChar">
    <w:name w:val="Header Char"/>
    <w:basedOn w:val="DefaultParagraphFont"/>
    <w:link w:val="Header"/>
    <w:uiPriority w:val="99"/>
    <w:rsid w:val="008654E2"/>
    <w:rPr>
      <w:rFonts w:ascii="Arial" w:eastAsia="Arial" w:hAnsi="Arial" w:cs="Arial"/>
      <w:lang w:bidi="en-US"/>
    </w:rPr>
  </w:style>
  <w:style w:type="paragraph" w:styleId="Footer">
    <w:name w:val="footer"/>
    <w:basedOn w:val="Normal"/>
    <w:link w:val="FooterChar"/>
    <w:uiPriority w:val="99"/>
    <w:unhideWhenUsed/>
    <w:rsid w:val="008654E2"/>
    <w:pPr>
      <w:tabs>
        <w:tab w:val="center" w:pos="4680"/>
        <w:tab w:val="right" w:pos="9360"/>
      </w:tabs>
    </w:pPr>
  </w:style>
  <w:style w:type="character" w:customStyle="1" w:styleId="FooterChar">
    <w:name w:val="Footer Char"/>
    <w:basedOn w:val="DefaultParagraphFont"/>
    <w:link w:val="Footer"/>
    <w:uiPriority w:val="99"/>
    <w:rsid w:val="008654E2"/>
    <w:rPr>
      <w:rFonts w:ascii="Arial" w:eastAsia="Arial" w:hAnsi="Arial" w:cs="Arial"/>
      <w:lang w:bidi="en-US"/>
    </w:rPr>
  </w:style>
  <w:style w:type="paragraph" w:styleId="BalloonText">
    <w:name w:val="Balloon Text"/>
    <w:basedOn w:val="Normal"/>
    <w:link w:val="BalloonTextChar"/>
    <w:uiPriority w:val="99"/>
    <w:semiHidden/>
    <w:unhideWhenUsed/>
    <w:rsid w:val="003B14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B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3B14BC"/>
    <w:rPr>
      <w:sz w:val="16"/>
      <w:szCs w:val="16"/>
    </w:rPr>
  </w:style>
  <w:style w:type="paragraph" w:styleId="CommentText">
    <w:name w:val="annotation text"/>
    <w:basedOn w:val="Normal"/>
    <w:link w:val="CommentTextChar"/>
    <w:uiPriority w:val="99"/>
    <w:semiHidden/>
    <w:unhideWhenUsed/>
    <w:rsid w:val="003B14BC"/>
    <w:rPr>
      <w:sz w:val="20"/>
      <w:szCs w:val="20"/>
    </w:rPr>
  </w:style>
  <w:style w:type="character" w:customStyle="1" w:styleId="CommentTextChar">
    <w:name w:val="Comment Text Char"/>
    <w:basedOn w:val="DefaultParagraphFont"/>
    <w:link w:val="CommentText"/>
    <w:uiPriority w:val="99"/>
    <w:semiHidden/>
    <w:rsid w:val="003B14BC"/>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B14BC"/>
    <w:rPr>
      <w:b/>
      <w:bCs/>
    </w:rPr>
  </w:style>
  <w:style w:type="character" w:customStyle="1" w:styleId="CommentSubjectChar">
    <w:name w:val="Comment Subject Char"/>
    <w:basedOn w:val="CommentTextChar"/>
    <w:link w:val="CommentSubject"/>
    <w:uiPriority w:val="99"/>
    <w:semiHidden/>
    <w:rsid w:val="003B14BC"/>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na2.docusign.net%2FMember%2FPowerFormSigning.aspx%3FPowerFormId%3Dafc18c37-56d2-4129-a762-3c0ecaf071f0%26env%3Dna2&amp;data=02%7C01%7Cadam.lefaive%40embered.com%7C495aeccaf5494e6670ad08d722962c88%7C3eb71b57cc1548468f7d9f4b5370070a%7C0%7C0%7C637015900700456474&amp;sdata=etHZTCD2ap1wOIgJhlFRdBQwu53A4butMRZO32SkcAg%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01.safelinks.protection.outlook.com/?url=https%3A%2F%2Fna2.docusign.net%2FMember%2FPowerFormSigning.aspx%3FPowerFormId%3D3f581fde-d845-4b12-a4bb-96586ae16ab3%26env%3Dna2&amp;data=02%7C01%7Cadam.lefaive%40embered.com%7C495aeccaf5494e6670ad08d722962c88%7C3eb71b57cc1548468f7d9f4b5370070a%7C0%7C0%7C637015900700446484&amp;sdata=SCRaDI%2Fbd4gsTnBoN1cgPh39uYAAYdm%2Fj6XSfFgQZX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66BB8-8740-48F4-9E77-528A7231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Schrock, Alana</dc:creator>
  <cp:lastModifiedBy>Robert Dominguez</cp:lastModifiedBy>
  <cp:revision>2</cp:revision>
  <dcterms:created xsi:type="dcterms:W3CDTF">2020-03-27T18:25:00Z</dcterms:created>
  <dcterms:modified xsi:type="dcterms:W3CDTF">2020-03-27T18:25:00Z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Acrobat PDFMaker 19 for Word</vt:lpwstr>
  </property>
  <property fmtid="{D5CDD505-2E9C-101B-9397-08002B2CF9AE}" pid="4" name="LastSaved">
    <vt:filetime>2019-04-24T00:00:00Z</vt:filetime>
  </property>
</Properties>
</file>